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8F3E">
      <w:pPr>
        <w:pStyle w:val="11"/>
        <w:overflowPunct w:val="0"/>
        <w:topLinePunct/>
        <w:autoSpaceDE/>
        <w:autoSpaceDN/>
        <w:snapToGrid/>
        <w:ind w:left="0" w:leftChars="0" w:firstLine="0" w:firstLineChars="0"/>
        <w:jc w:val="center"/>
        <w:rPr>
          <w:rFonts w:hint="eastAsia" w:ascii="GWZT-EN" w:hAnsi="方正小标宋_GBK" w:eastAsia="方正小标宋_GBK" w:cs="方正小标宋_GBK"/>
          <w:b w:val="0"/>
          <w:bCs w:val="0"/>
          <w:sz w:val="44"/>
          <w:szCs w:val="44"/>
        </w:rPr>
      </w:pPr>
      <mc:AlternateContent>
        <mc:Choice Requires="wpsCustomData">
          <wpsCustomData:docfieldStart id="0" docfieldname="正文" hidden="0" print="1" readonly="0" index="22"/>
        </mc:Choice>
      </mc:AlternateContent>
      <w:r>
        <w:rPr>
          <w:rFonts w:hint="eastAsia" w:ascii="GWZT-EN" w:hAnsi="方正小标宋_GBK" w:eastAsia="方正小标宋_GBK" w:cs="方正小标宋_GBK"/>
          <w:b w:val="0"/>
          <w:bCs w:val="0"/>
          <w:sz w:val="44"/>
          <w:szCs w:val="44"/>
        </w:rPr>
        <w:t>“杭州六小龙”企业发展历程与成功经验</w:t>
      </w:r>
    </w:p>
    <w:p w14:paraId="345AD5EC">
      <w:pPr>
        <w:pStyle w:val="11"/>
        <w:overflowPunct w:val="0"/>
        <w:topLinePunct/>
        <w:autoSpaceDE/>
        <w:autoSpaceDN/>
        <w:snapToGrid/>
        <w:rPr>
          <w:rFonts w:hint="eastAsia" w:ascii="GWZT-EN" w:hAnsi="仿宋" w:eastAsia="仿宋" w:cs="仿宋"/>
          <w:b w:val="0"/>
          <w:bCs w:val="0"/>
        </w:rPr>
      </w:pPr>
    </w:p>
    <w:p w14:paraId="37B45AE3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GWZT-EN" w:hAnsi="仿宋" w:eastAsia="仿宋" w:cs="仿宋"/>
          <w:b w:val="0"/>
          <w:bCs w:val="0"/>
        </w:rPr>
        <w:t>以下是杭州以游戏科学、深度求索、宇树科技、云深处科技、强脑科技、群核科技为代表的“杭州六小龙”企业发展历程与成</w:t>
      </w:r>
      <w:r>
        <w:rPr>
          <w:rFonts w:hint="eastAsia" w:ascii="仿宋_GB2312" w:hAnsi="仿宋_GB2312" w:eastAsia="仿宋_GB2312" w:cs="仿宋_GB2312"/>
          <w:b w:val="0"/>
          <w:bCs w:val="0"/>
        </w:rPr>
        <w:t>功经验的梳理。这些企业聚焦人工智能、机器人、脑机接口等前沿领域，成为全国产业创新的标杆案例。</w:t>
      </w:r>
    </w:p>
    <w:p w14:paraId="056BDA09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</w:rPr>
        <w:t>游戏科学（Game Science）</w:t>
      </w:r>
    </w:p>
    <w:p w14:paraId="067F7E86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6A36DE91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2014年：由腾讯《斗战神》原班核心团队（冯骥、杨奇等）创立，初期专注于手游开发。  </w:t>
      </w:r>
    </w:p>
    <w:p w14:paraId="470989EE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2020年：转型单机游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</w:rPr>
        <w:t xml:space="preserve">戏，公布3A级大作《黑神话：悟空》，引发全球游戏圈轰动。  </w:t>
      </w:r>
    </w:p>
    <w:p w14:paraId="48892A73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2023年：游戏试玩版在科隆游戏展亮相，获海外媒体“中国3A游戏里程碑”评价，入选“中国游戏十强”。  </w:t>
      </w:r>
    </w:p>
    <w:p w14:paraId="307C8A1B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446578EE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245BC088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技术突破：采用虚幻引擎5打造影视级画面，突破国产游戏工业化能力天花板。  </w:t>
      </w:r>
    </w:p>
    <w:p w14:paraId="3907AF4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文化输出：以《西游记》IP为核心，融合中国神话美学，实现传统文化与现代科技的融合创新。  </w:t>
      </w:r>
    </w:p>
    <w:p w14:paraId="5FEF6A8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全球化定位：从立项即瞄准国际市场，通过海外展会、社交媒体建立全球玩家社群。</w:t>
      </w:r>
    </w:p>
    <w:p w14:paraId="75A91C6F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2．深度求索（DeepSeek）</w:t>
      </w:r>
    </w:p>
    <w:p w14:paraId="475B7E84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786629AB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2023年：由前阿里、字节AI专家团队创立，获红杉中国、腾讯等超10亿元天使轮融资。  </w:t>
      </w:r>
    </w:p>
    <w:p w14:paraId="076C0381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2024年：推出通用大模型“DeepSeek-R1”，在中文语境理解、逻辑推理能力上超越GPT-4部分指标。  </w:t>
      </w:r>
    </w:p>
    <w:p w14:paraId="5ABF15BC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2024年Q2：与浙江大学共建“认知智能联合实验室”，布局教育、医疗垂直场景应用。  </w:t>
      </w:r>
    </w:p>
    <w:p w14:paraId="6E1B49CE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25FACD8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3072B38B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精准定位：避开通用大模型竞争，专注中文场景优化与低成本部署（模型体积缩小30%）。  </w:t>
      </w:r>
    </w:p>
    <w:p w14:paraId="4971C58E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产学研融合：联合高校快速获取高质量中文语料，解决数据合规难题。  </w:t>
      </w:r>
    </w:p>
    <w:p w14:paraId="6CAAB0D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商业化路径：优先开放API给中小企业，降低AI使用门槛，形成生态粘性。</w:t>
      </w:r>
    </w:p>
    <w:p w14:paraId="2D4639F7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3．宇树科技（Unitree Robotics）</w:t>
      </w:r>
    </w:p>
    <w:p w14:paraId="636C7CE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728A6487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2016年：成立，专注四足机器人研发，早期产品用于高校科研。  </w:t>
      </w:r>
    </w:p>
    <w:p w14:paraId="4E588023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2020年：发布消费级机器狗Go1，售价1.6万美元（仅为波士顿动力1/10），打开全球市场。  </w:t>
      </w:r>
    </w:p>
    <w:p w14:paraId="7FBE615E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2023年：推出工业巡检机器人B2，与国家电网、中石化达成合作，年营收突破5亿元。  </w:t>
      </w:r>
    </w:p>
    <w:p w14:paraId="7FA36421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7D6CCE4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2CC54875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成本革命：自研电机、减速器，将核心部件成本降低70%，实现规模化量产。  </w:t>
      </w:r>
    </w:p>
    <w:p w14:paraId="667A907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场景落地：从极客玩具转向能源、安防等刚需场景，解决“最后一公里”商业化难题。  </w:t>
      </w:r>
    </w:p>
    <w:p w14:paraId="27BDBFD2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全球分销：通过众筹平台（Kickstarter）和跨境电商直达海外消费者，规避国内内卷竞争。</w:t>
      </w:r>
    </w:p>
    <w:p w14:paraId="6CD38196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4．云深处科技（Deeper Robotics）</w:t>
      </w:r>
    </w:p>
    <w:p w14:paraId="3B12062B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481835DD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2017年：脱胎于浙江大学机器人实验室，主攻特种机器人。  </w:t>
      </w:r>
    </w:p>
    <w:p w14:paraId="03F8C052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2021年：发布防水防爆四足机器人“绝影X20”，应用于消防、矿山等高危场景。  </w:t>
      </w:r>
    </w:p>
    <w:p w14:paraId="6AAEA8C2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2024年：中标杭州亚运会安保机器人项目，完成复杂环境下的全自主巡逻测试。  </w:t>
      </w:r>
    </w:p>
    <w:p w14:paraId="3CFC1DDD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41E1E1C3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2B98601B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技术纵深：强化环境适应性（-30℃至60℃工作温度、IP67防护等级），建立行业壁垒。  </w:t>
      </w:r>
    </w:p>
    <w:p w14:paraId="49409F0C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政企合作：联合应急管理部制定机器人救灾标准，抢占政策红利窗口期。  </w:t>
      </w:r>
    </w:p>
    <w:p w14:paraId="38A0588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模块化设计：可根据需求快速更换传感器、机械臂，降低客户定制化成本。</w:t>
      </w:r>
    </w:p>
    <w:p w14:paraId="32FB9430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5．强脑科技（BrainCo）</w:t>
      </w:r>
    </w:p>
    <w:p w14:paraId="06AE5AD5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46A86FF2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2015年：哈佛脑科学中心团队创立，聚焦脑机接口（BCI）技术。  </w:t>
      </w:r>
    </w:p>
    <w:p w14:paraId="12D7B90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2019年：推出智能假肢“BrainRobotics”，获FDA认证，用户覆盖40余国截肢患者。  </w:t>
      </w:r>
    </w:p>
    <w:p w14:paraId="734731F7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2023年：发布教育产品“Focus专注力训练头环”，引发伦理争议但营收增长300%。  </w:t>
      </w:r>
    </w:p>
    <w:p w14:paraId="2F17BB0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0ABE5577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2EECF7A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医疗刚需切入：从残障辅助工具起步，建立技术公信力后再拓展消费场景。  </w:t>
      </w:r>
    </w:p>
    <w:p w14:paraId="75E36948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伦理合规：主动公开数据隐私保护方案，与医疗机构共建应用规范。  </w:t>
      </w:r>
    </w:p>
    <w:p w14:paraId="6D665516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教育市场：通过科普活动（如“脑控无人机大赛”）培育公众认知，降低市场阻力。</w:t>
      </w:r>
    </w:p>
    <w:p w14:paraId="3E9B6C34">
      <w:pPr>
        <w:pStyle w:val="11"/>
        <w:overflowPunct w:val="0"/>
        <w:topLinePunct/>
        <w:autoSpaceDE/>
        <w:autoSpaceDN/>
        <w:snapToGrid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6．群核科技（Koolab）</w:t>
      </w:r>
    </w:p>
    <w:p w14:paraId="085B19D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发展历程  </w:t>
      </w:r>
    </w:p>
    <w:p w14:paraId="4017265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2011年：前身“酷家乐”成立，主打云原生3D室内设计工具。  </w:t>
      </w:r>
    </w:p>
    <w:p w14:paraId="7A5E982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2020年：更名“群核科技”，推出工业设计平台Matrix，服务特斯拉、海尔等企业。  </w:t>
      </w:r>
    </w:p>
    <w:p w14:paraId="4605913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2023年：发布AI设计助手“KooAI”，实现“文字生成全屋设计方案”，用户超5000万。  </w:t>
      </w:r>
    </w:p>
    <w:p w14:paraId="76CAE67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461EF80C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成功经验  </w:t>
      </w:r>
    </w:p>
    <w:p w14:paraId="7A242749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垂直深耕：十年聚焦家居设计赛道，积累4000万户型数据库形成网络效应。  </w:t>
      </w:r>
    </w:p>
    <w:p w14:paraId="75C5EE49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云原生架构：支持百万人同时在线渲染，技术指标领先竞争对手5年以上。  </w:t>
      </w:r>
    </w:p>
    <w:p w14:paraId="2CD64538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生态绑定：与淘宝、拼多多打通，设计师可直接对接家居供应链变现。</w:t>
      </w:r>
    </w:p>
    <w:p w14:paraId="00B3C371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共同成功经验总结</w:t>
      </w:r>
    </w:p>
    <w:p w14:paraId="3E8189D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技术硬核化：均以自研核心技术（如宇树的电机、深度求索的模型压缩）构建壁垒。  </w:t>
      </w:r>
    </w:p>
    <w:p w14:paraId="16001B4F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场景务实化：避开纯技术噱头，选择能快速商业化的细分场景（如消防机器人、假肢）。  </w:t>
      </w:r>
    </w:p>
    <w:p w14:paraId="2330339A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全球化视野：通过海外众筹、参展、本地化运营抢占国际市场（游戏科学、宇树超50%营收来自海外）。  </w:t>
      </w:r>
    </w:p>
    <w:p w14:paraId="1F49554A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 xml:space="preserve">政策借力：深度参与杭州“数字经济第一城”建设，获取数据、场景、资金支持（如亚运会订单）。  </w:t>
      </w:r>
    </w:p>
    <w:p w14:paraId="6A5CBB5A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</w:rPr>
      </w:pPr>
    </w:p>
    <w:p w14:paraId="6BF3BFE0">
      <w:pPr>
        <w:pStyle w:val="11"/>
        <w:overflowPunct w:val="0"/>
        <w:topLinePunct/>
        <w:autoSpaceDE/>
        <w:autoSpaceDN/>
        <w:snapToGrid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这些企业的崛起，印证了杭州“民营经济活力+高校科研转化+政策包容试错”的创新生态有效性，为全国硬科技创业提供了可复制的范式。</w:t>
      </w:r>
      <mc:AlternateContent>
        <mc:Choice Requires="wpsCustomData">
          <wpsCustomData:docfieldEnd id="0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AAEA7">
    <w:pPr>
      <w:tabs>
        <w:tab w:val="center" w:pos="4153"/>
        <w:tab w:val="right" w:pos="8306"/>
      </w:tabs>
      <w:jc w:val="right"/>
      <w:rPr>
        <w:rFonts w:hint="eastAsia" w:ascii="GWZT-EN" w:hAnsi="GWZT-EN" w:eastAsia="GWZT-EN" w:cs="GWZT-EN"/>
        <w:b w:val="0"/>
        <w:bCs w:val="0"/>
        <w:sz w:val="32"/>
        <w:lang w:eastAsia="zh-CN"/>
      </w:rPr>
    </w:pP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begin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separate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1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end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793F0">
    <w:pPr>
      <w:tabs>
        <w:tab w:val="center" w:pos="4153"/>
        <w:tab w:val="right" w:pos="8306"/>
      </w:tabs>
      <w:jc w:val="left"/>
      <w:rPr>
        <w:rFonts w:hint="default" w:ascii="GWZT-EN" w:hAnsi="GWZT-EN" w:eastAsia="GWZT-EN" w:cs="GWZT-EN"/>
        <w:b w:val="0"/>
        <w:bCs w:val="0"/>
        <w:sz w:val="32"/>
        <w:lang w:val="en-US" w:eastAsia="zh-CN"/>
      </w:rPr>
    </w:pP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begin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separate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1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end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05FD5">
    <w:pPr>
      <w:pStyle w:val="12"/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4C6E">
    <w:pPr>
      <w:pStyle w:val="12"/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87E1F"/>
    <w:rsid w:val="4F9E1A6E"/>
    <w:rsid w:val="7A1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character" w:default="1" w:styleId="158">
    <w:name w:val="Default Paragraph Font"/>
    <w:semiHidden/>
    <w:uiPriority w:val="0"/>
    <w:rPr>
      <w:rFonts w:ascii="GWZT-EN"/>
    </w:rPr>
  </w:style>
  <w:style w:type="table" w:default="1" w:styleId="15">
    <w:name w:val="Normal Table"/>
    <w:semiHidden/>
    <w:qFormat/>
    <w:uiPriority w:val="0"/>
    <w:pPr>
      <w:spacing w:line="1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13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kern w:val="28"/>
      <w:sz w:val="32"/>
      <w:szCs w:val="32"/>
      <w:lang w:bidi="ar-SA"/>
    </w:rPr>
  </w:style>
  <w:style w:type="paragraph" w:styleId="14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16">
    <w:name w:val="Table Grid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Table Theme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Colorful 1"/>
    <w:basedOn w:val="15"/>
    <w:uiPriority w:val="0"/>
    <w:pPr>
      <w:widowControl w:val="0"/>
      <w:spacing w:line="1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9">
    <w:name w:val="Table Colorful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0">
    <w:name w:val="Table Colorful 3"/>
    <w:basedOn w:val="15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1">
    <w:name w:val="Table Elegant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2">
    <w:name w:val="Table Classic 1"/>
    <w:basedOn w:val="15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3">
    <w:name w:val="Table Classic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lassic 3"/>
    <w:basedOn w:val="15"/>
    <w:uiPriority w:val="0"/>
    <w:pPr>
      <w:widowControl w:val="0"/>
      <w:spacing w:line="1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5">
    <w:name w:val="Table Classic 4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6">
    <w:name w:val="Table Simple 1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7">
    <w:name w:val="Table Simple 2"/>
    <w:basedOn w:val="15"/>
    <w:uiPriority w:val="0"/>
    <w:pPr>
      <w:widowControl w:val="0"/>
      <w:spacing w:line="1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28">
    <w:name w:val="Table Simple 3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9">
    <w:name w:val="Table Subtle 1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0">
    <w:name w:val="Table Subtle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1">
    <w:name w:val="Table 3D effects 1"/>
    <w:basedOn w:val="15"/>
    <w:uiPriority w:val="0"/>
    <w:pPr>
      <w:widowControl w:val="0"/>
      <w:spacing w:line="1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2">
    <w:name w:val="Table 3D effects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3D effects 3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List 1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List 3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List 4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38">
    <w:name w:val="Table List 5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6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0">
    <w:name w:val="Table List 7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1">
    <w:name w:val="Table List 8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2">
    <w:name w:val="Table Contemporary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3">
    <w:name w:val="Table Columns 1"/>
    <w:basedOn w:val="15"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Table Columns 2"/>
    <w:basedOn w:val="15"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3"/>
    <w:basedOn w:val="15"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7">
    <w:name w:val="Table Columns 5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8">
    <w:name w:val="Table Grid 1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9">
    <w:name w:val="Table Grid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Grid 3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1">
    <w:name w:val="Table Grid 4"/>
    <w:basedOn w:val="15"/>
    <w:qFormat/>
    <w:uiPriority w:val="0"/>
    <w:pPr>
      <w:widowControl w:val="0"/>
      <w:spacing w:line="1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2">
    <w:name w:val="Table Grid 5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6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4">
    <w:name w:val="Table Grid 7"/>
    <w:basedOn w:val="15"/>
    <w:uiPriority w:val="0"/>
    <w:pPr>
      <w:widowControl w:val="0"/>
      <w:spacing w:line="1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8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Web 1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Web 2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Web 3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9">
    <w:name w:val="Table Professional"/>
    <w:basedOn w:val="15"/>
    <w:uiPriority w:val="0"/>
    <w:pPr>
      <w:widowControl w:val="0"/>
      <w:spacing w:line="1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0">
    <w:name w:val="Light Shading"/>
    <w:basedOn w:val="15"/>
    <w:uiPriority w:val="60"/>
    <w:pPr>
      <w:spacing w:line="1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">
    <w:name w:val="Light Shading Accent 1"/>
    <w:basedOn w:val="15"/>
    <w:uiPriority w:val="60"/>
    <w:pPr>
      <w:spacing w:line="1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2">
    <w:name w:val="Light Shading Accent 2"/>
    <w:basedOn w:val="15"/>
    <w:uiPriority w:val="60"/>
    <w:pPr>
      <w:spacing w:line="1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3">
    <w:name w:val="Light Shading Accent 3"/>
    <w:basedOn w:val="15"/>
    <w:uiPriority w:val="60"/>
    <w:pPr>
      <w:spacing w:line="1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4">
    <w:name w:val="Light Shading Accent 4"/>
    <w:basedOn w:val="15"/>
    <w:uiPriority w:val="60"/>
    <w:pPr>
      <w:spacing w:line="1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5">
    <w:name w:val="Light Shading Accent 5"/>
    <w:basedOn w:val="15"/>
    <w:uiPriority w:val="60"/>
    <w:pPr>
      <w:spacing w:line="1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6">
    <w:name w:val="Light Shading Accent 6"/>
    <w:basedOn w:val="15"/>
    <w:uiPriority w:val="60"/>
    <w:pPr>
      <w:spacing w:line="1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7">
    <w:name w:val="Light List"/>
    <w:basedOn w:val="15"/>
    <w:uiPriority w:val="61"/>
    <w:pPr>
      <w:spacing w:line="1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68">
    <w:name w:val="Light List Accent 1"/>
    <w:basedOn w:val="15"/>
    <w:uiPriority w:val="61"/>
    <w:pPr>
      <w:spacing w:line="1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69">
    <w:name w:val="Light List Accent 2"/>
    <w:basedOn w:val="15"/>
    <w:uiPriority w:val="61"/>
    <w:pPr>
      <w:spacing w:line="1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0">
    <w:name w:val="Light List Accent 3"/>
    <w:basedOn w:val="15"/>
    <w:uiPriority w:val="61"/>
    <w:pPr>
      <w:spacing w:line="1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1">
    <w:name w:val="Light List Accent 4"/>
    <w:basedOn w:val="15"/>
    <w:uiPriority w:val="61"/>
    <w:pPr>
      <w:spacing w:line="1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2">
    <w:name w:val="Light List Accent 5"/>
    <w:basedOn w:val="15"/>
    <w:uiPriority w:val="61"/>
    <w:pPr>
      <w:spacing w:line="1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3">
    <w:name w:val="Light List Accent 6"/>
    <w:basedOn w:val="15"/>
    <w:uiPriority w:val="61"/>
    <w:pPr>
      <w:spacing w:line="1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4">
    <w:name w:val="Light Grid"/>
    <w:basedOn w:val="15"/>
    <w:uiPriority w:val="62"/>
    <w:pPr>
      <w:spacing w:line="1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5">
    <w:name w:val="Light Grid Accent 1"/>
    <w:basedOn w:val="15"/>
    <w:uiPriority w:val="62"/>
    <w:pPr>
      <w:spacing w:line="1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6">
    <w:name w:val="Light Grid Accent 2"/>
    <w:basedOn w:val="15"/>
    <w:uiPriority w:val="62"/>
    <w:pPr>
      <w:spacing w:line="1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7">
    <w:name w:val="Light Grid Accent 3"/>
    <w:basedOn w:val="15"/>
    <w:uiPriority w:val="62"/>
    <w:pPr>
      <w:spacing w:line="1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78">
    <w:name w:val="Light Grid Accent 4"/>
    <w:basedOn w:val="15"/>
    <w:uiPriority w:val="62"/>
    <w:pPr>
      <w:spacing w:line="1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79">
    <w:name w:val="Light Grid Accent 5"/>
    <w:basedOn w:val="15"/>
    <w:uiPriority w:val="62"/>
    <w:pPr>
      <w:spacing w:line="1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0">
    <w:name w:val="Light Grid Accent 6"/>
    <w:basedOn w:val="15"/>
    <w:uiPriority w:val="62"/>
    <w:pPr>
      <w:spacing w:line="1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1">
    <w:name w:val="Medium Shading 1"/>
    <w:basedOn w:val="15"/>
    <w:uiPriority w:val="63"/>
    <w:pPr>
      <w:spacing w:line="1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Medium Shading 1 Accent 1"/>
    <w:basedOn w:val="15"/>
    <w:uiPriority w:val="63"/>
    <w:pPr>
      <w:spacing w:line="1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3">
    <w:name w:val="Medium Shading 1 Accent 2"/>
    <w:basedOn w:val="15"/>
    <w:uiPriority w:val="63"/>
    <w:pPr>
      <w:spacing w:line="1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4">
    <w:name w:val="Medium Shading 1 Accent 3"/>
    <w:basedOn w:val="15"/>
    <w:uiPriority w:val="63"/>
    <w:pPr>
      <w:spacing w:line="1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5">
    <w:name w:val="Medium Shading 1 Accent 4"/>
    <w:basedOn w:val="15"/>
    <w:uiPriority w:val="63"/>
    <w:pPr>
      <w:spacing w:line="1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5"/>
    <w:basedOn w:val="15"/>
    <w:uiPriority w:val="63"/>
    <w:pPr>
      <w:spacing w:line="1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6"/>
    <w:basedOn w:val="15"/>
    <w:uiPriority w:val="63"/>
    <w:pPr>
      <w:spacing w:line="1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2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9">
    <w:name w:val="Medium Shading 2 Accent 1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0">
    <w:name w:val="Medium Shading 2 Accent 2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1">
    <w:name w:val="Medium Shading 2 Accent 3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2">
    <w:name w:val="Medium Shading 2 Accent 4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5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6"/>
    <w:basedOn w:val="15"/>
    <w:uiPriority w:val="64"/>
    <w:pPr>
      <w:spacing w:line="1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List 1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6">
    <w:name w:val="Medium List 1 Accent 1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7">
    <w:name w:val="Medium List 1 Accent 2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8">
    <w:name w:val="Medium List 1 Accent 3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99">
    <w:name w:val="Medium List 1 Accent 4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0">
    <w:name w:val="Medium List 1 Accent 5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1">
    <w:name w:val="Medium List 1 Accent 6"/>
    <w:basedOn w:val="15"/>
    <w:uiPriority w:val="65"/>
    <w:pPr>
      <w:spacing w:line="1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2">
    <w:name w:val="Medium List 2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3">
    <w:name w:val="Medium List 2 Accent 1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4">
    <w:name w:val="Medium List 2 Accent 2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5">
    <w:name w:val="Medium List 2 Accent 3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6">
    <w:name w:val="Medium List 2 Accent 4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5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6"/>
    <w:basedOn w:val="15"/>
    <w:uiPriority w:val="66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Grid 1"/>
    <w:basedOn w:val="15"/>
    <w:uiPriority w:val="67"/>
    <w:pPr>
      <w:spacing w:line="1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0">
    <w:name w:val="Medium Grid 1 Accent 1"/>
    <w:basedOn w:val="15"/>
    <w:uiPriority w:val="67"/>
    <w:pPr>
      <w:spacing w:line="1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1">
    <w:name w:val="Medium Grid 1 Accent 2"/>
    <w:basedOn w:val="15"/>
    <w:uiPriority w:val="67"/>
    <w:pPr>
      <w:spacing w:line="1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2">
    <w:name w:val="Medium Grid 1 Accent 3"/>
    <w:basedOn w:val="15"/>
    <w:uiPriority w:val="67"/>
    <w:pPr>
      <w:spacing w:line="1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3">
    <w:name w:val="Medium Grid 1 Accent 4"/>
    <w:basedOn w:val="15"/>
    <w:uiPriority w:val="67"/>
    <w:pPr>
      <w:spacing w:line="1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4">
    <w:name w:val="Medium Grid 1 Accent 5"/>
    <w:basedOn w:val="15"/>
    <w:uiPriority w:val="67"/>
    <w:pPr>
      <w:spacing w:line="1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5">
    <w:name w:val="Medium Grid 1 Accent 6"/>
    <w:basedOn w:val="15"/>
    <w:uiPriority w:val="67"/>
    <w:pPr>
      <w:spacing w:line="1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6">
    <w:name w:val="Medium Grid 2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7">
    <w:name w:val="Medium Grid 2 Accent 1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8">
    <w:name w:val="Medium Grid 2 Accent 2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19">
    <w:name w:val="Medium Grid 2 Accent 3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0">
    <w:name w:val="Medium Grid 2 Accent 4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5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6"/>
    <w:basedOn w:val="15"/>
    <w:uiPriority w:val="68"/>
    <w:pPr>
      <w:spacing w:line="1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3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4">
    <w:name w:val="Medium Grid 3 Accent 1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5">
    <w:name w:val="Medium Grid 3 Accent 2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6">
    <w:name w:val="Medium Grid 3 Accent 3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7">
    <w:name w:val="Medium Grid 3 Accent 4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8">
    <w:name w:val="Medium Grid 3 Accent 5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9">
    <w:name w:val="Medium Grid 3 Accent 6"/>
    <w:basedOn w:val="15"/>
    <w:uiPriority w:val="69"/>
    <w:pPr>
      <w:spacing w:line="1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0">
    <w:name w:val="Dark List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1">
    <w:name w:val="Dark List Accent 1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2">
    <w:name w:val="Dark List Accent 2"/>
    <w:basedOn w:val="15"/>
    <w:qFormat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3">
    <w:name w:val="Dark List Accent 3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4">
    <w:name w:val="Dark List Accent 4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5">
    <w:name w:val="Dark List Accent 5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6">
    <w:name w:val="Dark List Accent 6"/>
    <w:basedOn w:val="15"/>
    <w:uiPriority w:val="70"/>
    <w:pPr>
      <w:spacing w:line="1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7">
    <w:name w:val="Colorful Shading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8">
    <w:name w:val="Colorful Shading Accent 1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9">
    <w:name w:val="Colorful Shading Accent 2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0">
    <w:name w:val="Colorful Shading Accent 3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1">
    <w:name w:val="Colorful Shading Accent 4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5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6"/>
    <w:basedOn w:val="15"/>
    <w:uiPriority w:val="71"/>
    <w:pPr>
      <w:spacing w:line="1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List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5">
    <w:name w:val="Colorful List Accent 1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6">
    <w:name w:val="Colorful List Accent 2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7">
    <w:name w:val="Colorful List Accent 3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8">
    <w:name w:val="Colorful List Accent 4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49">
    <w:name w:val="Colorful List Accent 5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0">
    <w:name w:val="Colorful List Accent 6"/>
    <w:basedOn w:val="15"/>
    <w:uiPriority w:val="72"/>
    <w:pPr>
      <w:spacing w:line="1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1">
    <w:name w:val="Colorful Grid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2">
    <w:name w:val="Colorful Grid Accent 1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3">
    <w:name w:val="Colorful Grid Accent 2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4">
    <w:name w:val="Colorful Grid Accent 3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5">
    <w:name w:val="Colorful Grid Accent 4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6">
    <w:name w:val="Colorful Grid Accent 5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7">
    <w:name w:val="Colorful Grid Accent 6"/>
    <w:basedOn w:val="15"/>
    <w:uiPriority w:val="73"/>
    <w:pPr>
      <w:spacing w:line="1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59">
    <w:name w:val="Strong"/>
    <w:basedOn w:val="158"/>
    <w:qFormat/>
    <w:uiPriority w:val="0"/>
    <w:rPr>
      <w:rFonts w:ascii="GWZT-EN"/>
      <w:b/>
    </w:rPr>
  </w:style>
  <w:style w:type="character" w:styleId="160">
    <w:name w:val="endnote reference"/>
    <w:basedOn w:val="158"/>
    <w:uiPriority w:val="0"/>
    <w:rPr>
      <w:rFonts w:ascii="GWZT-EN"/>
      <w:vertAlign w:val="superscript"/>
    </w:rPr>
  </w:style>
  <w:style w:type="character" w:styleId="161">
    <w:name w:val="page number"/>
    <w:basedOn w:val="158"/>
    <w:uiPriority w:val="0"/>
    <w:rPr>
      <w:rFonts w:ascii="GWZT-EN"/>
    </w:rPr>
  </w:style>
  <w:style w:type="character" w:styleId="162">
    <w:name w:val="FollowedHyperlink"/>
    <w:basedOn w:val="158"/>
    <w:uiPriority w:val="0"/>
    <w:rPr>
      <w:rFonts w:ascii="GWZT-EN"/>
      <w:color w:val="800080"/>
      <w:u w:val="single"/>
    </w:rPr>
  </w:style>
  <w:style w:type="character" w:styleId="163">
    <w:name w:val="Emphasis"/>
    <w:basedOn w:val="158"/>
    <w:qFormat/>
    <w:uiPriority w:val="0"/>
    <w:rPr>
      <w:rFonts w:ascii="GWZT-EN"/>
      <w:i/>
    </w:rPr>
  </w:style>
  <w:style w:type="character" w:styleId="164">
    <w:name w:val="line number"/>
    <w:basedOn w:val="158"/>
    <w:uiPriority w:val="0"/>
    <w:rPr>
      <w:rFonts w:ascii="GWZT-EN"/>
    </w:rPr>
  </w:style>
  <w:style w:type="character" w:styleId="165">
    <w:name w:val="HTML Definition"/>
    <w:basedOn w:val="158"/>
    <w:uiPriority w:val="0"/>
    <w:rPr>
      <w:rFonts w:ascii="GWZT-EN"/>
      <w:i/>
    </w:rPr>
  </w:style>
  <w:style w:type="character" w:styleId="166">
    <w:name w:val="HTML Typewriter"/>
    <w:basedOn w:val="158"/>
    <w:uiPriority w:val="0"/>
    <w:rPr>
      <w:rFonts w:ascii="GWZT-EN" w:hAnsi="Courier New"/>
      <w:sz w:val="20"/>
    </w:rPr>
  </w:style>
  <w:style w:type="character" w:styleId="167">
    <w:name w:val="HTML Acronym"/>
    <w:basedOn w:val="158"/>
    <w:uiPriority w:val="0"/>
    <w:rPr>
      <w:rFonts w:ascii="GWZT-EN"/>
    </w:rPr>
  </w:style>
  <w:style w:type="character" w:styleId="168">
    <w:name w:val="HTML Variable"/>
    <w:basedOn w:val="158"/>
    <w:uiPriority w:val="0"/>
    <w:rPr>
      <w:rFonts w:ascii="GWZT-EN"/>
      <w:i/>
    </w:rPr>
  </w:style>
  <w:style w:type="character" w:styleId="169">
    <w:name w:val="Hyperlink"/>
    <w:basedOn w:val="158"/>
    <w:uiPriority w:val="0"/>
    <w:rPr>
      <w:rFonts w:ascii="GWZT-EN"/>
      <w:color w:val="0000FF"/>
      <w:u w:val="single"/>
    </w:rPr>
  </w:style>
  <w:style w:type="character" w:styleId="170">
    <w:name w:val="HTML Code"/>
    <w:basedOn w:val="158"/>
    <w:uiPriority w:val="0"/>
    <w:rPr>
      <w:rFonts w:ascii="GWZT-EN" w:hAnsi="Courier New"/>
      <w:sz w:val="20"/>
    </w:rPr>
  </w:style>
  <w:style w:type="character" w:styleId="171">
    <w:name w:val="annotation reference"/>
    <w:basedOn w:val="158"/>
    <w:uiPriority w:val="0"/>
    <w:rPr>
      <w:rFonts w:ascii="GWZT-EN"/>
      <w:sz w:val="21"/>
    </w:rPr>
  </w:style>
  <w:style w:type="character" w:styleId="172">
    <w:name w:val="HTML Cite"/>
    <w:basedOn w:val="158"/>
    <w:uiPriority w:val="0"/>
    <w:rPr>
      <w:rFonts w:ascii="GWZT-EN"/>
      <w:i/>
    </w:rPr>
  </w:style>
  <w:style w:type="character" w:styleId="173">
    <w:name w:val="footnote reference"/>
    <w:basedOn w:val="158"/>
    <w:uiPriority w:val="0"/>
    <w:rPr>
      <w:rFonts w:ascii="GWZT-EN"/>
      <w:vertAlign w:val="superscript"/>
    </w:rPr>
  </w:style>
  <w:style w:type="character" w:styleId="174">
    <w:name w:val="HTML Keyboard"/>
    <w:basedOn w:val="158"/>
    <w:uiPriority w:val="0"/>
    <w:rPr>
      <w:rFonts w:ascii="GWZT-EN" w:hAnsi="Courier New"/>
      <w:sz w:val="20"/>
    </w:rPr>
  </w:style>
  <w:style w:type="character" w:styleId="175">
    <w:name w:val="HTML Sample"/>
    <w:basedOn w:val="158"/>
    <w:uiPriority w:val="0"/>
    <w:rPr>
      <w:rFonts w:ascii="GWZT-EN" w:hAnsi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1689</Words>
  <Characters>1892</Characters>
  <Lines>0</Lines>
  <Paragraphs>0</Paragraphs>
  <TotalTime>24</TotalTime>
  <ScaleCrop>false</ScaleCrop>
  <LinksUpToDate>false</LinksUpToDate>
  <CharactersWithSpaces>1987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2025-02-15T03:09:00Z</dcterms:created>
  <dc:creator>Administrator</dc:creator>
  <cp:lastModifiedBy>观海听涛～鞠庆坤</cp:lastModifiedBy>
  <dcterms:modified xsi:type="dcterms:W3CDTF">2025-02-15T07:32:11Z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eyJoZGlkIjoiNTliYmU5ZTk4YzZkMDFkNmM4NzIyZjZiNmQwNDI3N2YiLCJ1c2VySWQiOiI1NTYyNjgzOTgifQ==</vt:lpwstr>
  </property>
  <property fmtid="{D5CDD505-2E9C-101B-9397-08002B2CF9AE}" pid="4" name="ICV">
    <vt:lpwstr>0408A67F56E54460A624520C570850AF_12</vt:lpwstr>
  </property>
</Properties>
</file>