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1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eastAsia" w:ascii="方正小标宋_GBK" w:hAnsi="方正小标宋_GBK" w:eastAsia="方正小标宋_GBK" w:cs="方正小标宋_GBK"/>
          <w:i w:val="0"/>
          <w:iCs w:val="0"/>
          <w:caps w:val="0"/>
          <w:color w:val="333333"/>
          <w:spacing w:val="0"/>
          <w:sz w:val="44"/>
          <w:szCs w:val="44"/>
          <w:shd w:val="clear" w:fill="FFFFFF"/>
        </w:rPr>
      </w:pPr>
      <w:r>
        <w:rPr>
          <w:rStyle w:val="7"/>
          <w:rFonts w:hint="eastAsia" w:ascii="方正小标宋_GBK" w:hAnsi="方正小标宋_GBK" w:eastAsia="方正小标宋_GBK" w:cs="方正小标宋_GBK"/>
          <w:i w:val="0"/>
          <w:iCs w:val="0"/>
          <w:caps w:val="0"/>
          <w:color w:val="333333"/>
          <w:spacing w:val="0"/>
          <w:sz w:val="44"/>
          <w:szCs w:val="44"/>
          <w:shd w:val="clear" w:fill="FFFFFF"/>
        </w:rPr>
        <w:t xml:space="preserve">推动科技创新和产业创新深度融合 </w:t>
      </w:r>
    </w:p>
    <w:p w14:paraId="3AA211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Style w:val="7"/>
          <w:rFonts w:hint="eastAsia" w:ascii="方正小标宋_GBK" w:hAnsi="方正小标宋_GBK" w:eastAsia="方正小标宋_GBK" w:cs="方正小标宋_GBK"/>
          <w:i w:val="0"/>
          <w:iCs w:val="0"/>
          <w:caps w:val="0"/>
          <w:color w:val="333333"/>
          <w:spacing w:val="0"/>
          <w:sz w:val="44"/>
          <w:szCs w:val="44"/>
          <w:shd w:val="clear" w:fill="FFFFFF"/>
        </w:rPr>
        <w:t>因地制宜培育发展新质生产力</w:t>
      </w:r>
    </w:p>
    <w:p w14:paraId="74D11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rPr>
        <w:t>山东省委常委、青岛市委书记</w:t>
      </w:r>
    </w:p>
    <w:p w14:paraId="435211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rPr>
        <w:t>曾赞荣</w:t>
      </w:r>
    </w:p>
    <w:p w14:paraId="586C7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0F1C5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推动科技创新和产业创新深度融合，是培育发展新质生产力的内在要求。习近平总书记深刻指出，“实现高水平科技自立自强、发展新质生产力，对科技创新和产业创新融合提出了更为迫切的需求”“抓科技创新和产业创新融合，要搭建平台、健全体制机制，强化企业创新主体地位，让创新链和产业链无缝对接”，在山东考察时强调“山东在推进科技创新与产业创新深度融合、发展新质生产力、完善现代化产业体系上大有可为”，为我们在新时代新征程上做好相关工作指明了方向、提供了根本遵循。</w:t>
      </w:r>
    </w:p>
    <w:p w14:paraId="2ECD2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站在“十五五”开局起步的新起点上，青岛将深入贯彻落实习近平总书记关于科技创新的重要论述和对山东、对青岛工作的重要指示要求，认真落实山东省委工作部署，坚持把科技创新摆在核心位置，立足自身资源禀赋优势，大力推进科技强市建设，深化科技创新和产业创新互融共促、协同发展，加快培育壮大新质生产力，为全国全省大局作出更多青岛贡献。</w:t>
      </w:r>
    </w:p>
    <w:p w14:paraId="67CFF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i w:val="0"/>
          <w:iCs w:val="0"/>
          <w:caps w:val="0"/>
          <w:color w:val="333333"/>
          <w:spacing w:val="0"/>
          <w:sz w:val="32"/>
          <w:szCs w:val="32"/>
        </w:rPr>
      </w:pPr>
      <w:r>
        <w:rPr>
          <w:rStyle w:val="7"/>
          <w:rFonts w:hint="eastAsia" w:ascii="黑体" w:hAnsi="黑体" w:eastAsia="黑体" w:cs="黑体"/>
          <w:b w:val="0"/>
          <w:bCs/>
          <w:i w:val="0"/>
          <w:iCs w:val="0"/>
          <w:caps w:val="0"/>
          <w:color w:val="333333"/>
          <w:spacing w:val="0"/>
          <w:sz w:val="32"/>
          <w:szCs w:val="32"/>
          <w:shd w:val="clear" w:fill="FFFFFF"/>
        </w:rPr>
        <w:t>一、加强高质量科技供给，筑牢科技创新和产业创新融合的基础</w:t>
      </w:r>
    </w:p>
    <w:p w14:paraId="44DFE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面向未来，青岛将进一步提升科技创新策源能力，加强高质量科技供给，有力支撑科技创新和产业创新深度融合。一是建强战略科技力量。全力保障崂山实验室建设发展，高标准建设全国重点实验室和国创中心，加快建设吸气式发动机关键部件热物理试验装置等重大科技基础设施，争取更多“国字号”创新平台在青布局，构建高能级创新平台矩阵。二是加强关键技术攻关。面向国家重大需求，聚焦海洋科技、新一代信息技术、智能制造等方向领域，完善常态化技术预见与需求凝练机制，每年布局100余项关键核心技术攻关，着力破解一批制约产业发展的“卡脖子”问题。三是打造区域创新高地。坚持“一廊串联、三城驱动、多圈联动”，加快建设青岛科创大走廊，强化人才、资金、政策等要素资源供给，集中力量在海洋、数智等领域推出一批硬核成果，打造北方有影响力的产业科技创新策源地。</w:t>
      </w:r>
    </w:p>
    <w:p w14:paraId="27108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7"/>
          <w:rFonts w:hint="eastAsia" w:ascii="黑体" w:hAnsi="黑体" w:eastAsia="黑体" w:cs="黑体"/>
          <w:b w:val="0"/>
          <w:bCs/>
          <w:i w:val="0"/>
          <w:iCs w:val="0"/>
          <w:caps w:val="0"/>
          <w:color w:val="333333"/>
          <w:spacing w:val="0"/>
          <w:sz w:val="32"/>
          <w:szCs w:val="32"/>
          <w:shd w:val="clear" w:fill="FFFFFF"/>
        </w:rPr>
      </w:pPr>
      <w:r>
        <w:rPr>
          <w:rStyle w:val="7"/>
          <w:rFonts w:hint="eastAsia" w:ascii="黑体" w:hAnsi="黑体" w:eastAsia="黑体" w:cs="黑体"/>
          <w:b w:val="0"/>
          <w:bCs/>
          <w:i w:val="0"/>
          <w:iCs w:val="0"/>
          <w:caps w:val="0"/>
          <w:color w:val="333333"/>
          <w:spacing w:val="0"/>
          <w:sz w:val="32"/>
          <w:szCs w:val="32"/>
          <w:shd w:val="clear" w:fill="FFFFFF"/>
        </w:rPr>
        <w:t>二、提升科技成果转化效能，畅通科技创新和产业创新融合的途径</w:t>
      </w:r>
    </w:p>
    <w:p w14:paraId="79A7D1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习近平总书记强调，“强化科技创新和产业创新融合，加大科技成果转化应用力度”。科技成果只有通过转化应用，才能成为现实生产力。近年来，青岛积极探索推进“有组织的科研+有组织的转化”，推出“硕果计划”“海创计划”“科技成果转化创新改革10条”等政策“组合拳”，打造全国首个海洋科技大市场，培育发展专业服务机构，推动科技创新成果加快从实验室走向生产线。“十四五”期间，全市技术合同成交额年均增长超过10%，技术交易和成果转化日趋活跃。</w:t>
      </w:r>
    </w:p>
    <w:p w14:paraId="2D62DA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面向未来，青岛将持续深化科技成果转化创新改革，促进产学研融通创新，不断提高科技成果转化效能。一是畅通转化渠道。出台实施促进科技成果转化政策2.0版，完善“部门+国企+区市+技术经理人+科技大市场”专员小组工作机制，编制重点产业链技术需求清单，搭建高校院所可转化“科技成果池”，靶向组织项目路演和产研对接，及时将科技创新成果应用到具体产业上。二是优化市场服务。积极推动海洋科技大市场特色化发展，每年筛选成果2000项以上、转化项目500项以上。促进验证平台共建共享共用，三年内建设概念验证平台60家左右、省级以上中试验证平台15家左右。壮大科技中介服务机构，培育一批职业化的技术经理人。三是强化金融赋能。落实好国家“科技金融20条”，创新科技金融产品服务，积极发展风险投资，壮大耐心资本、长期资本。成立市级科技成果转化专项投资基金，引导金融资本投早、投小、投长期、投硬科技。</w:t>
      </w:r>
    </w:p>
    <w:p w14:paraId="2D634C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7"/>
          <w:rFonts w:hint="eastAsia" w:ascii="黑体" w:hAnsi="黑体" w:eastAsia="黑体" w:cs="黑体"/>
          <w:b w:val="0"/>
          <w:bCs/>
          <w:i w:val="0"/>
          <w:iCs w:val="0"/>
          <w:caps w:val="0"/>
          <w:color w:val="333333"/>
          <w:spacing w:val="0"/>
          <w:sz w:val="32"/>
          <w:szCs w:val="32"/>
          <w:shd w:val="clear" w:fill="FFFFFF"/>
        </w:rPr>
      </w:pPr>
      <w:r>
        <w:rPr>
          <w:rStyle w:val="7"/>
          <w:rFonts w:hint="eastAsia" w:ascii="黑体" w:hAnsi="黑体" w:eastAsia="黑体" w:cs="黑体"/>
          <w:b w:val="0"/>
          <w:bCs/>
          <w:i w:val="0"/>
          <w:iCs w:val="0"/>
          <w:caps w:val="0"/>
          <w:color w:val="333333"/>
          <w:spacing w:val="0"/>
          <w:sz w:val="32"/>
          <w:szCs w:val="32"/>
          <w:shd w:val="clear" w:fill="FFFFFF"/>
        </w:rPr>
        <w:t>三、建具有青岛特色的现代化产业体系，做实科技创新和产业创新融合的成效</w:t>
      </w:r>
    </w:p>
    <w:p w14:paraId="1B7555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习近平总书记强调，“着眼发展新质生产力，强化科技创新和产业创新深度融合，建设具有国际竞争力的现代化产业体系”。产业发展是创新的土壤，是科技成果转化的主战场，也是推动科技创新和产业创新深度融合的落脚点。近年来，青岛坚持以科技创新推动产业创新，统筹推进传统产业优化提升、新兴产业培育壮大、未来产业超前布局，智能家电、轨道交通装备、船舶与海工装备、仪器仪表等4个国家先进制造业集群提档升级，去年集成电路圆片、光电子器件、虚拟现实设备产量分别增长51.9%、36.1%、29%，海洋生产总值增长6.1%、总量居我国沿海城市前三位。</w:t>
      </w:r>
    </w:p>
    <w:p w14:paraId="58660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面向未来，青岛将发挥创新和产业资源优势，持续推进以科技创新引领现代化产业体系建设，不断将创新势能转化为产业动能。一是大力发展“10+1”创新型产业。加快实施总投资3660亿元的430个重点产业项目，加强新一代信息技术、人工智能2个先导产业技术攻关、产品研制和场景应用，围绕生命健康、智能网联新能源汽车、低空经济、绿色能源、智能装备5个新兴产业，构建协同创新更紧密、配套体系更完备、功能支撑更有力的产业生态，积极推进智能家电、高端化工与新材料、现代轻工3个优势产业产品迭代、数字赋能和品牌建设，超前发展一批未来产业。二是做强“4+4+2”现代海洋产业体系。高标准建设“蓝色粮仓”，提升高端航运服务能力，丰富滨海游、邮轮游、海岛游等海洋文旅业态，加快海洋化工向高端绿色迈进，培育壮大海洋装备、海洋药物和生物制品、海水淡化与综合利用、海洋新能源等新兴产业，争取国家深海装备、深海能源和深海生物等重大任务落地青岛，打造现代海洋经济发展高地。三是着力强化企业科技创新主体地位。完善科技型企业梯次培育体系，推动专精特</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新企业创新发展。支持企业与高校、科研机构组建创新联合体，协同开展技术攻关和应用推广，构建以企业为主体的科技创新体系。深入实施“工赋青岛”“人工智能+”行动，推动企业数智化转型，提升实数融合发展水平。</w:t>
      </w:r>
    </w:p>
    <w:p w14:paraId="5427F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i w:val="0"/>
          <w:iCs w:val="0"/>
          <w:caps w:val="0"/>
          <w:color w:val="333333"/>
          <w:spacing w:val="0"/>
          <w:sz w:val="32"/>
          <w:szCs w:val="32"/>
        </w:rPr>
      </w:pPr>
      <w:r>
        <w:rPr>
          <w:rStyle w:val="7"/>
          <w:rFonts w:hint="eastAsia" w:ascii="黑体" w:hAnsi="黑体" w:eastAsia="黑体" w:cs="黑体"/>
          <w:b w:val="0"/>
          <w:bCs/>
          <w:i w:val="0"/>
          <w:iCs w:val="0"/>
          <w:caps w:val="0"/>
          <w:color w:val="333333"/>
          <w:spacing w:val="0"/>
          <w:sz w:val="32"/>
          <w:szCs w:val="32"/>
          <w:shd w:val="clear" w:fill="FFFFFF"/>
        </w:rPr>
        <w:t>四、营造良好创新生态，强化科技创新和产业创新融合的保障</w:t>
      </w:r>
    </w:p>
    <w:p w14:paraId="584D10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习近平总书记强调，“形成世界一流的创新生态和科研环境”“营造具有全球竞争力的开放创新生态”。良好的创新生态是科技创新和产业创新深度融合的有力保障。近年来，青岛坚持有效市场和有为政府相结合，修订科技创新促进条例，建立财政资金稳定增长机制，出台研发投入、成果转化、人才集聚等系列专项政策，着力建设一流创新生态，“十四五”前四年全社会研发经费投入年均增长11.6%、居副省级城市前列，人才总量突破300万人，连续多年入选“中国最佳引才城市”。</w:t>
      </w:r>
    </w:p>
    <w:p w14:paraId="354EC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面向未来，青岛将以更大力度优化科技创新生态，进一步激发创新创造活力。一是推进教育科技人才一体化发展。支持驻青高校优化学科设置和人才培养模式，与重点企业共建特色产业学院，提高“政校企”协同育人水平。深入实施“产业领军人才计划”，推进青年人才集聚行动，完善人才评价体系，做好人才“引育留用”文章。二是加强科技创新政策支持。争取国家和省科技专项、“两重”超长期国债科技项目等政策性资金支持，落实好省、市研发投入奖补等政策，保持市级财政科技资金每年15%以上稳定增长，引导各类创新主体加大科技投入。三是深化科技开放合作。高水平建设上合组织科技创新合作中心、中日韩创新合作中心青岛基地、鲁港科技合作创新中心等平台，办好首届上合组织科技创新合作大会等重大活动，广泛链接全球创新资源，努力塑造国际科技合作“青岛样板”。</w:t>
      </w:r>
    </w:p>
    <w:p w14:paraId="7A79796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CF30DC-A0C6-4C8C-B58F-1A0F85ED3E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E2F88254-BB8B-4AA1-9510-609B5D2A322B}"/>
  </w:font>
  <w:font w:name="楷体_GB2312">
    <w:panose1 w:val="02010609030101010101"/>
    <w:charset w:val="86"/>
    <w:family w:val="auto"/>
    <w:pitch w:val="default"/>
    <w:sig w:usb0="00000001" w:usb1="080E0000" w:usb2="00000000" w:usb3="00000000" w:csb0="00040000" w:csb1="00000000"/>
    <w:embedRegular r:id="rId3" w:fontKey="{A7AC997F-DE6D-44E9-923A-733BC89BAFAC}"/>
  </w:font>
  <w:font w:name="仿宋_GB2312">
    <w:panose1 w:val="02010609030101010101"/>
    <w:charset w:val="86"/>
    <w:family w:val="auto"/>
    <w:pitch w:val="default"/>
    <w:sig w:usb0="00000001" w:usb1="080E0000" w:usb2="00000000" w:usb3="00000000" w:csb0="00040000" w:csb1="00000000"/>
    <w:embedRegular r:id="rId4" w:fontKey="{A0AEC62B-801F-45E9-B89F-78EF78AE17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18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FB21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2FB2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D3730"/>
    <w:rsid w:val="4FDE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2832</Words>
  <Characters>2880</Characters>
  <Lines>0</Lines>
  <Paragraphs>0</Paragraphs>
  <TotalTime>13</TotalTime>
  <ScaleCrop>false</ScaleCrop>
  <LinksUpToDate>false</LinksUpToDate>
  <CharactersWithSpaces>2882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2026-06-08T03:23:00Z</dcterms:created>
  <dc:creator>qingd</dc:creator>
  <cp:lastModifiedBy>观海听涛～鞠庆坤</cp:lastModifiedBy>
  <dcterms:modified xsi:type="dcterms:W3CDTF">2026-06-08T03:38:18Z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2AB3E6BD1E184CC694F84C83D74A114C_12</vt:lpwstr>
  </property>
</Properties>
</file>